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57"/>
        <w:gridCol w:w="1321"/>
        <w:gridCol w:w="1010"/>
        <w:gridCol w:w="1376"/>
        <w:gridCol w:w="1174"/>
        <w:gridCol w:w="1330"/>
        <w:gridCol w:w="1229"/>
      </w:tblGrid>
      <w:tr w:rsidR="001A7247" w:rsidRPr="00B97086" w14:paraId="278D18A9" w14:textId="77777777" w:rsidTr="001A7247">
        <w:tc>
          <w:tcPr>
            <w:tcW w:w="27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6C274AB" w14:textId="77777777" w:rsidR="001A7247" w:rsidRPr="00B97086" w:rsidRDefault="001A7247">
            <w:pPr>
              <w:spacing w:after="120"/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1. Назив прописа Европске уније: </w:t>
            </w:r>
          </w:p>
          <w:p w14:paraId="3D028502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Commission Implementing Regulation (EU) No 607/2012 of 6 July 2012 on the detailed rules concerning the due diligence system and the frequency and nature of the checks on monitoring organisations as provided for in Regulation (EU) No 995/2010 of the European Parliament and of the Council laying down the obligations of operators who place timber and timber products on the market (</w:t>
            </w:r>
            <w:r w:rsidRPr="00B97086">
              <w:rPr>
                <w:rFonts w:ascii="Times New Roman" w:hAnsi="Times New Roman" w:cs="Times New Roman"/>
                <w:bCs/>
                <w:i/>
                <w:sz w:val="18"/>
                <w:szCs w:val="18"/>
                <w:lang w:val="sr-Cyrl-RS"/>
              </w:rPr>
              <w:t>OJ L 177, 7/07/2012</w:t>
            </w:r>
            <w:r w:rsidRPr="00B97086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)</w:t>
            </w:r>
          </w:p>
          <w:p w14:paraId="24B5831B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Спроведбена уредба (ЕУ) број 607/2012 од 6. јула 2012. године о детаљним правилима која се односе на систем дужне пажње и учесталост и природу провера организација за праћење како је предвиђено Уредбом (ЕУ) број 995/2010 Европског парламента и Савета којим се утврђују обавезе субјеката који стављају дрво и дрвне производе на тржиште.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6273736E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2. "</w:t>
            </w:r>
            <w:r w:rsidRPr="00B97086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>CELEX</w:t>
            </w:r>
            <w:r w:rsidRPr="00B9708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" ознака ЕУ прописа:</w:t>
            </w:r>
          </w:p>
          <w:p w14:paraId="02202DE3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32012R0607</w:t>
            </w:r>
          </w:p>
        </w:tc>
      </w:tr>
      <w:tr w:rsidR="001A7247" w:rsidRPr="00B97086" w14:paraId="7B2025EA" w14:textId="77777777" w:rsidTr="001A7247">
        <w:tc>
          <w:tcPr>
            <w:tcW w:w="27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7D1E7" w14:textId="4F7122F6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3. Орган државне управе, односно други овлашћени предлагач прописа</w:t>
            </w:r>
            <w:r w:rsidR="0028242E">
              <w:rPr>
                <w:sz w:val="18"/>
                <w:szCs w:val="18"/>
                <w:lang w:val="sr-Cyrl-RS"/>
              </w:rPr>
              <w:t xml:space="preserve"> - </w:t>
            </w:r>
            <w:r w:rsidR="00370F61">
              <w:rPr>
                <w:sz w:val="18"/>
                <w:szCs w:val="18"/>
                <w:lang w:val="sr-Cyrl-RS"/>
              </w:rPr>
              <w:t>Влада</w:t>
            </w:r>
          </w:p>
          <w:p w14:paraId="403C78D7" w14:textId="26C2805E" w:rsidR="001A7247" w:rsidRPr="00B97086" w:rsidRDefault="00370F61">
            <w:pPr>
              <w:spacing w:after="120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Обрађивач -</w:t>
            </w:r>
            <w:r w:rsidR="0028242E">
              <w:rPr>
                <w:sz w:val="18"/>
                <w:szCs w:val="18"/>
                <w:lang w:val="sr-Cyrl-RS"/>
              </w:rPr>
              <w:t xml:space="preserve"> </w:t>
            </w:r>
            <w:r w:rsidR="001A7247" w:rsidRPr="00B97086">
              <w:rPr>
                <w:sz w:val="18"/>
                <w:szCs w:val="18"/>
                <w:lang w:val="sr-Cyrl-RS"/>
              </w:rPr>
              <w:t>Министарство пољопривреде, шумарства и водопривреде</w:t>
            </w:r>
          </w:p>
          <w:p w14:paraId="6AF49590" w14:textId="77777777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              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A9DC3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4. </w:t>
            </w:r>
            <w:r w:rsidRPr="00B97086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>Датум израде табеле:</w:t>
            </w:r>
          </w:p>
          <w:p w14:paraId="4C2323C5" w14:textId="77777777" w:rsidR="001A7247" w:rsidRPr="00B97086" w:rsidRDefault="001A7247">
            <w:pPr>
              <w:pStyle w:val="Normal1"/>
              <w:spacing w:before="0" w:beforeAutospacing="0" w:after="120" w:afterAutospacing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iCs/>
                <w:sz w:val="18"/>
                <w:szCs w:val="18"/>
                <w:lang w:val="sr-Cyrl-RS"/>
              </w:rPr>
              <w:t xml:space="preserve"> 6.8.2025. године</w:t>
            </w:r>
          </w:p>
        </w:tc>
      </w:tr>
      <w:tr w:rsidR="001A7247" w:rsidRPr="00B97086" w14:paraId="308F31ED" w14:textId="77777777" w:rsidTr="001A7247">
        <w:tc>
          <w:tcPr>
            <w:tcW w:w="27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B6AAF" w14:textId="77777777" w:rsidR="001A7247" w:rsidRPr="00B97086" w:rsidRDefault="001A7247">
            <w:pPr>
              <w:spacing w:after="120"/>
              <w:rPr>
                <w:rStyle w:val="hps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5. Назив (нацрта, предлога) прописа чије одредбе су предмет анализе усклађености са прописом Европске уније:</w:t>
            </w:r>
          </w:p>
          <w:p w14:paraId="1D188BFA" w14:textId="02BCF9A9" w:rsidR="001A7247" w:rsidRPr="00B97086" w:rsidRDefault="001A7247">
            <w:pPr>
              <w:spacing w:after="120"/>
              <w:rPr>
                <w:rStyle w:val="hps"/>
                <w:sz w:val="18"/>
                <w:szCs w:val="18"/>
                <w:lang w:val="sr-Cyrl-RS"/>
              </w:rPr>
            </w:pPr>
            <w:r w:rsidRPr="00B97086">
              <w:rPr>
                <w:rStyle w:val="hps"/>
                <w:sz w:val="18"/>
                <w:szCs w:val="18"/>
                <w:lang w:val="sr-Cyrl-RS"/>
              </w:rPr>
              <w:t xml:space="preserve">0.1. </w:t>
            </w:r>
            <w:r w:rsidR="0028242E">
              <w:rPr>
                <w:rStyle w:val="hps"/>
                <w:sz w:val="18"/>
                <w:szCs w:val="18"/>
                <w:lang w:val="sr-Cyrl-RS"/>
              </w:rPr>
              <w:t>Предлог</w:t>
            </w:r>
            <w:r w:rsidRPr="00B97086">
              <w:rPr>
                <w:rStyle w:val="hps"/>
                <w:sz w:val="18"/>
                <w:szCs w:val="18"/>
                <w:lang w:val="sr-Cyrl-RS"/>
              </w:rPr>
              <w:t xml:space="preserve"> закона о стављању на тржиште дрвета и дрвних производа</w:t>
            </w:r>
          </w:p>
          <w:p w14:paraId="51BEA579" w14:textId="77777777" w:rsidR="001A7247" w:rsidRPr="00B97086" w:rsidRDefault="001A7247">
            <w:pPr>
              <w:spacing w:after="120"/>
              <w:rPr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0.2. Закон о инспекцијском надзору („Службени гласник РС”, бр. 36/15, 44/18 - др. закон, 95/18).</w:t>
            </w:r>
          </w:p>
        </w:tc>
        <w:tc>
          <w:tcPr>
            <w:tcW w:w="2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F00E1" w14:textId="77777777" w:rsidR="001A7247" w:rsidRPr="00B97086" w:rsidRDefault="001A7247">
            <w:pPr>
              <w:spacing w:after="120"/>
              <w:rPr>
                <w:rStyle w:val="hps"/>
                <w:color w:val="333333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6. Бројчане ознаке (шифре) планираних прописа из базе НПAA: 2024-498</w:t>
            </w:r>
          </w:p>
          <w:p w14:paraId="1B317D20" w14:textId="77777777" w:rsidR="001A7247" w:rsidRPr="00B97086" w:rsidRDefault="001A7247">
            <w:pPr>
              <w:spacing w:after="120"/>
              <w:jc w:val="center"/>
              <w:rPr>
                <w:rStyle w:val="hps"/>
                <w:color w:val="333333"/>
                <w:sz w:val="18"/>
                <w:szCs w:val="18"/>
                <w:lang w:val="sr-Cyrl-RS"/>
              </w:rPr>
            </w:pPr>
          </w:p>
          <w:p w14:paraId="5499EFBE" w14:textId="77777777" w:rsidR="001A7247" w:rsidRPr="00B97086" w:rsidRDefault="001A7247">
            <w:pPr>
              <w:spacing w:after="120"/>
              <w:rPr>
                <w:lang w:val="sr-Cyrl-RS"/>
              </w:rPr>
            </w:pPr>
          </w:p>
        </w:tc>
      </w:tr>
      <w:tr w:rsidR="001A7247" w:rsidRPr="00B97086" w14:paraId="105908CB" w14:textId="77777777" w:rsidTr="001A7247"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B2C24" w14:textId="77777777" w:rsidR="001A7247" w:rsidRPr="00B97086" w:rsidRDefault="001A7247">
            <w:pPr>
              <w:pStyle w:val="Normal1"/>
              <w:spacing w:before="0" w:beforeAutospacing="0" w:after="0" w:afterAutospacing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9708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7. Усклађеност одредби прописа са одредбама прописа ЕУ:</w:t>
            </w:r>
          </w:p>
        </w:tc>
      </w:tr>
      <w:tr w:rsidR="001A7247" w:rsidRPr="00B97086" w14:paraId="6E8BA9B9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2B31190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а)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6AB5A108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а1)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EF9EA6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б)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7A631FB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б1)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D81E56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в)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7108CE7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г)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FA5496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6"/>
                <w:szCs w:val="16"/>
                <w:lang w:val="sr-Cyrl-RS"/>
              </w:rPr>
              <w:t>д)</w:t>
            </w:r>
          </w:p>
        </w:tc>
      </w:tr>
      <w:tr w:rsidR="001A7247" w:rsidRPr="00B97086" w14:paraId="366D5F17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EFB16FD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01ADE0A0" w14:textId="77777777" w:rsidR="001A7247" w:rsidRPr="00B97086" w:rsidRDefault="001A7247">
            <w:pPr>
              <w:spacing w:before="120"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068EFF38" w14:textId="77777777" w:rsidR="001A7247" w:rsidRPr="00B97086" w:rsidRDefault="001A7247">
            <w:pPr>
              <w:spacing w:before="120" w:after="120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Одредба прописа ЕУ </w:t>
            </w:r>
          </w:p>
          <w:p w14:paraId="36E1B773" w14:textId="77777777" w:rsidR="001A7247" w:rsidRPr="00B97086" w:rsidRDefault="001A7247">
            <w:pPr>
              <w:spacing w:after="120"/>
              <w:jc w:val="center"/>
              <w:rPr>
                <w:sz w:val="16"/>
                <w:szCs w:val="16"/>
                <w:lang w:val="sr-Cyrl-RS"/>
              </w:rPr>
            </w:pPr>
          </w:p>
          <w:p w14:paraId="0C4798C7" w14:textId="77777777" w:rsidR="001A7247" w:rsidRPr="00B97086" w:rsidRDefault="001A7247">
            <w:pPr>
              <w:spacing w:after="120"/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1BCC4F7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31DCF3D3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0482B30F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251BEBEA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Садржина одредбе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3642F4" w14:textId="77777777" w:rsidR="001A7247" w:rsidRPr="00B97086" w:rsidRDefault="001A7247">
            <w:pPr>
              <w:spacing w:after="120"/>
              <w:rPr>
                <w:bCs/>
                <w:sz w:val="18"/>
                <w:szCs w:val="18"/>
                <w:lang w:val="sr-Cyrl-RS"/>
              </w:rPr>
            </w:pPr>
          </w:p>
          <w:p w14:paraId="2BB36767" w14:textId="77777777" w:rsidR="001A7247" w:rsidRPr="00B97086" w:rsidRDefault="001A7247">
            <w:pPr>
              <w:spacing w:before="120" w:after="120"/>
              <w:ind w:firstLine="5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Одредбе прописа Републике Србије</w:t>
            </w:r>
          </w:p>
          <w:p w14:paraId="1C92AF50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5C622F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6D2F81E8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5297A381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1E688061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Садржина одредбе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A11CE06" w14:textId="77777777" w:rsidR="001A7247" w:rsidRPr="00B97086" w:rsidRDefault="001A7247">
            <w:pPr>
              <w:spacing w:before="120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Усклађеност </w:t>
            </w:r>
          </w:p>
          <w:p w14:paraId="08198C48" w14:textId="77777777" w:rsidR="001A7247" w:rsidRPr="00B97086" w:rsidRDefault="001A7247">
            <w:pPr>
              <w:jc w:val="center"/>
              <w:rPr>
                <w:sz w:val="16"/>
                <w:szCs w:val="16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(Потпуно усклађено - ПУ, делимично усклађено - ДУ, неусклађено - НУ, непреносиво – НП)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27604D" w14:textId="77777777" w:rsidR="001A7247" w:rsidRPr="00B97086" w:rsidRDefault="001A7247">
            <w:pPr>
              <w:spacing w:after="120"/>
              <w:ind w:firstLine="21"/>
              <w:jc w:val="center"/>
              <w:rPr>
                <w:sz w:val="18"/>
                <w:szCs w:val="18"/>
                <w:lang w:val="sr-Cyrl-RS"/>
              </w:rPr>
            </w:pPr>
          </w:p>
          <w:p w14:paraId="1CA64204" w14:textId="77777777" w:rsidR="001A7247" w:rsidRPr="00B97086" w:rsidRDefault="001A7247">
            <w:pPr>
              <w:spacing w:after="120"/>
              <w:ind w:firstLine="21"/>
              <w:jc w:val="center"/>
              <w:rPr>
                <w:sz w:val="18"/>
                <w:szCs w:val="18"/>
                <w:lang w:val="sr-Cyrl-RS"/>
              </w:rPr>
            </w:pPr>
          </w:p>
          <w:p w14:paraId="313F5757" w14:textId="77777777" w:rsidR="001A7247" w:rsidRPr="00B97086" w:rsidRDefault="001A7247">
            <w:pPr>
              <w:spacing w:after="120"/>
              <w:ind w:firstLine="21"/>
              <w:jc w:val="center"/>
              <w:rPr>
                <w:sz w:val="18"/>
                <w:szCs w:val="18"/>
                <w:lang w:val="sr-Cyrl-RS"/>
              </w:rPr>
            </w:pPr>
          </w:p>
          <w:p w14:paraId="66066DCF" w14:textId="77777777" w:rsidR="001A7247" w:rsidRPr="00B97086" w:rsidRDefault="001A7247">
            <w:pPr>
              <w:spacing w:after="120"/>
              <w:ind w:firstLine="21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Разлози за делимичну усклађеност, неусклађеност или непреносивост</w:t>
            </w:r>
          </w:p>
          <w:p w14:paraId="1FAF89CC" w14:textId="77777777" w:rsidR="001A7247" w:rsidRPr="00B97086" w:rsidRDefault="001A7247">
            <w:pPr>
              <w:spacing w:after="120"/>
              <w:ind w:firstLine="21"/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462AA8" w14:textId="77777777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</w:p>
          <w:p w14:paraId="1ADF36D1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0046A3DB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  <w:p w14:paraId="3108B751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Напомена о усклађености</w:t>
            </w:r>
          </w:p>
        </w:tc>
      </w:tr>
      <w:tr w:rsidR="001A7247" w:rsidRPr="00B97086" w14:paraId="4061B023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CE5D438" w14:textId="77777777" w:rsidR="001A7247" w:rsidRPr="00B97086" w:rsidRDefault="001A7247">
            <w:pPr>
              <w:spacing w:after="120"/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380B1A2C" w14:textId="77777777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This Regulation lays down detailed rules concerning the due diligence system and the frequency and the nature of the checks on monitoring organisations.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F7DBCF" w14:textId="77777777" w:rsidR="001A7247" w:rsidRPr="00B97086" w:rsidRDefault="001A7247">
            <w:pPr>
              <w:spacing w:after="120"/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B85529" w14:textId="77777777" w:rsidR="001A7247" w:rsidRPr="00B97086" w:rsidRDefault="001A7247">
            <w:pPr>
              <w:spacing w:after="120"/>
              <w:jc w:val="both"/>
              <w:rPr>
                <w:sz w:val="18"/>
                <w:szCs w:val="18"/>
                <w:lang w:val="sr-Cyrl-RS"/>
              </w:rPr>
            </w:pP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A7F23E" w14:textId="77777777" w:rsidR="001A7247" w:rsidRPr="00B97086" w:rsidRDefault="001A7247">
            <w:pPr>
              <w:spacing w:after="120"/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t>НП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05012C" w14:textId="77777777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Уводна одредба која прописује садржину Спроведбена уредба која се не преноси. Одреедбе Спроведбене уредбе су уграђене у Закон, као и одредбе Уредбе (ЕУ) број 995/2010.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AEE37" w14:textId="77777777" w:rsidR="001A7247" w:rsidRPr="00B97086" w:rsidRDefault="001A7247">
            <w:pPr>
              <w:spacing w:after="120"/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437FF15F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EAF07B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1BC862AF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17E8DA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1.   Operators shall apply the due diligence system to each specific type of timber or timber product supplied by a particular supplier within a period not exceeding 12 months, provided that the tree species, the country or countries of harvest or, where applicable, the sub-national region(s) and concession(s) of harvest remain unchanged.</w:t>
            </w:r>
          </w:p>
          <w:p w14:paraId="1F0CC40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7C8959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2.   The first paragraph is without prejudice to operator’s obligation to maintain measures and procedures providing access to the information referred to in Article 6(1)(a) of Regulation (EU) No 995/2010 concerning each consignment of timber and timber products placed on the market by the operator.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205870" w14:textId="77777777" w:rsidR="001A7247" w:rsidRPr="00B97086" w:rsidRDefault="001A724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97086">
              <w:rPr>
                <w:b/>
                <w:sz w:val="18"/>
                <w:szCs w:val="18"/>
                <w:lang w:val="sr-Cyrl-RS"/>
              </w:rPr>
              <w:lastRenderedPageBreak/>
              <w:t>0.1.</w:t>
            </w:r>
          </w:p>
          <w:p w14:paraId="74EDA79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13.1</w:t>
            </w:r>
          </w:p>
          <w:p w14:paraId="5C42284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11064C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CF7854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EC0E436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8FFC94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7D9849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EC00F2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912793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4C17E1D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13.2</w:t>
            </w:r>
          </w:p>
          <w:p w14:paraId="7E0FE26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426E127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3C63E5D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75329F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13.3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7C9FD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40D227F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Субјект ажурира систем дужне пажње за сваку врсту дрвета, односно дрвних производа коју му испоручује одређени добављач и то једном годишње, уколико нису промењени врста дрвета, држава, односно територија унутар државе или дозвола за сечу.</w:t>
            </w:r>
          </w:p>
          <w:p w14:paraId="26F133B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E5A85B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Субјект је дужан да обезбеди приступ подацима о свакој испоруци из става 1. овог члана.</w:t>
            </w:r>
          </w:p>
          <w:p w14:paraId="41C8B63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C02412E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Податке из става 2. овог члана субјект чува најмање пет година и ставља их на увид надлежном органу.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8B5137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lastRenderedPageBreak/>
              <w:t>ПУ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B753BE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1472A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294AB85E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1E5BAF0B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E56F13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86FC77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1.   The information on operator’s supply of timber or timber products referred to in Article (6)(1)(a) of Regulation (EU) No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995/2010 shall be provided in accordance with paragraphs 2, 3 and 4.</w:t>
            </w:r>
          </w:p>
          <w:p w14:paraId="63449BFD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5A211EBD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2.   The full scientific name of the tree species referred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first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ambiguity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use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common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name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exists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43A50CB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DE6342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3.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Information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sub-national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region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second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illegal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between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sub-national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varies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736AB9C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6066787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4.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Information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concession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second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illegal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between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concessions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country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sub-national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region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varies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562921D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304D595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 xml:space="preserve">For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purposes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first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subparagraph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arrangement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conferring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right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defined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area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considered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concession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6B8274BE" w14:textId="77777777" w:rsidR="001A7247" w:rsidRPr="00B97086" w:rsidRDefault="001A7247">
            <w:pPr>
              <w:rPr>
                <w:b/>
                <w:sz w:val="18"/>
                <w:szCs w:val="18"/>
                <w:lang w:val="sr-Cyrl-RS"/>
              </w:rPr>
            </w:pP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C57F09" w14:textId="77777777" w:rsidR="001A7247" w:rsidRPr="00B97086" w:rsidRDefault="001A724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97086">
              <w:rPr>
                <w:b/>
                <w:sz w:val="18"/>
                <w:szCs w:val="18"/>
                <w:lang w:val="sr-Cyrl-RS"/>
              </w:rPr>
              <w:lastRenderedPageBreak/>
              <w:t>0.1.</w:t>
            </w:r>
          </w:p>
          <w:p w14:paraId="61A736F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10.1</w:t>
            </w:r>
          </w:p>
          <w:p w14:paraId="66F377A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541C25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6C975C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9B8E60E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55E83D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5F4F0B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10.1.1</w:t>
            </w:r>
          </w:p>
          <w:p w14:paraId="10C3E1B2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45B6202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6FBBA9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2318DC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218757D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F601BB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10.1.2</w:t>
            </w:r>
          </w:p>
          <w:p w14:paraId="55143D7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487773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BF56985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0DE0CC6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19CF2A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4D14D72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10.1.6</w:t>
            </w:r>
          </w:p>
          <w:p w14:paraId="338E52F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6110A1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6BC2D8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C2C725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02B073C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DC1796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25BB19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4.12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B8149E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5AFBBE6C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Субјект који ставља дрво, односно дрвне производе на тржиште дужан је да има податке о:</w:t>
            </w:r>
          </w:p>
          <w:p w14:paraId="06C52AF3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550D6D77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7F2D491D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</w:p>
          <w:p w14:paraId="075AEA67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1) трговачком називу, врсти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производа, уобичајеном народном, односно научном називу врсте дрвета;</w:t>
            </w:r>
          </w:p>
          <w:p w14:paraId="45DF377A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1F6016CB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44572A8F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2) држави сече дрвета, као и појединим деловима територије државе,  уколико су унутар државе утврђени делови територије са различитим степеном ризика;</w:t>
            </w:r>
          </w:p>
          <w:p w14:paraId="5F088E5B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664A342A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6) документима, односно другим подацима којима се доказује да су дрво и дрвни производи произведени и стављени на тржиште у складу са прописима у држави сече дрвета.</w:t>
            </w:r>
          </w:p>
          <w:p w14:paraId="47C019CE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2FAAD8EA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12) „дозвола за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сечуˮ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јесте било која мера којом се додељује право на сечу шуме на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одређеноj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територији;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50641F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lastRenderedPageBreak/>
              <w:t>ПУ</w:t>
            </w:r>
          </w:p>
          <w:p w14:paraId="4F1DCE4E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5806665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9E50549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12089E22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6FA7454E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7F1AC20F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93BC0D" w14:textId="77777777" w:rsidR="001A7247" w:rsidRPr="00B97086" w:rsidRDefault="001A7247">
            <w:pPr>
              <w:ind w:firstLine="21"/>
              <w:rPr>
                <w:sz w:val="18"/>
                <w:szCs w:val="18"/>
                <w:lang w:val="sr-Cyrl-RS"/>
              </w:rPr>
            </w:pP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A2094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1F6D082B" w14:textId="77777777" w:rsidTr="001A7247">
        <w:trPr>
          <w:trHeight w:val="7131"/>
        </w:trPr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28FC46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06E0CC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</w:t>
            </w:r>
          </w:p>
          <w:p w14:paraId="28ED80C5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3A71C1CF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3924FD8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B1F5AB8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CE8188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4F023BD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23BEEC3E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6E79DC6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4.а</w:t>
            </w:r>
          </w:p>
          <w:p w14:paraId="5408C84F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6FF972C3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4FB48A8A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C33B8F5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474B6D43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33AB9083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4.b</w:t>
            </w:r>
          </w:p>
          <w:p w14:paraId="57D3BE0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712D83C8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7A2571CF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098C109B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D65CE4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25A6FD3E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4.c</w:t>
            </w:r>
          </w:p>
          <w:p w14:paraId="124DF4A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53AEE522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779933F9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4B6BC381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00380302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7FD820B7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216C072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4.d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485ABF4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5C68E06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sz w:val="18"/>
                <w:szCs w:val="18"/>
                <w:lang w:val="sr-Cyrl-RS"/>
              </w:rPr>
              <w:t>Certification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other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third-party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verified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schemes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first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second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paragraph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6(1)(b)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6(1)(c)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taken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into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account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assessment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mitigation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procedures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meet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following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criteria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:</w:t>
            </w:r>
          </w:p>
          <w:p w14:paraId="3E75D8E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A0F486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have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established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available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third-party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use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publicly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available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system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requirements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which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system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at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least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relevant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requirements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legislation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47593E2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5B25AD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(b)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specify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appropriate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field-visits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third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lastRenderedPageBreak/>
              <w:t>intervals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no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longer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12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months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verify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legislation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is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complied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66541A43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380579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(c)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means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verified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third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trace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accordance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legislation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products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derived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from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at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point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supply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chain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before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products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placed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the market;</w:t>
            </w:r>
          </w:p>
          <w:p w14:paraId="2DAD91ED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6C408E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(d)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controls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verified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third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ensure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products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unknown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origin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products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which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have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not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been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harvested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accordance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legislation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do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not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enter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supply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chain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96CE5A" w14:textId="77777777" w:rsidR="001A7247" w:rsidRPr="00B97086" w:rsidRDefault="001A724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97086">
              <w:rPr>
                <w:b/>
                <w:sz w:val="18"/>
                <w:szCs w:val="18"/>
                <w:lang w:val="sr-Cyrl-RS"/>
              </w:rPr>
              <w:lastRenderedPageBreak/>
              <w:t>0.1.</w:t>
            </w:r>
          </w:p>
          <w:p w14:paraId="0977285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</w:t>
            </w:r>
          </w:p>
          <w:p w14:paraId="3B535CA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8177F9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88596ED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7FBACE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D24291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4F48A8F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18747F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DE019E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14.1</w:t>
            </w:r>
          </w:p>
          <w:p w14:paraId="094EB0F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AE721B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004146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78EDD5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ECD9E4E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13F064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14.2</w:t>
            </w:r>
          </w:p>
          <w:p w14:paraId="59E0BA0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D4D1EB2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29F541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5694CB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3B022CD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7340005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14.3</w:t>
            </w:r>
          </w:p>
          <w:p w14:paraId="10F188B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D16F0E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425BE7E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709AE0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967377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7C784A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C39E6B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14.4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55F791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310748C6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sz w:val="18"/>
                <w:szCs w:val="18"/>
                <w:lang w:val="sr-Cyrl-RS"/>
              </w:rPr>
              <w:t>Сертификација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или други верификовани системи провере узимају се у обзир у поступку процене и ублажавања ризика, ако испуњавају следеће услове:</w:t>
            </w:r>
          </w:p>
          <w:p w14:paraId="7F7F9843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5D01355A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1268B702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56417E20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1) да је њима успостављен систем мера у складу са прописима државе сече дрвета, који је јавно доступан;</w:t>
            </w:r>
          </w:p>
          <w:p w14:paraId="29906685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23B9CE71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2A317B86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2) да се њима врше редовне провере, укључујући и теренске контроле, у интервалима до 12 месеци, у циљу потврде усклађености са важећим прописима;</w:t>
            </w:r>
          </w:p>
          <w:p w14:paraId="475C9F8B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3) да укључују праћење дрвета посеченог у складу са прописима државе сече дрвета и дрвних производа добијених од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тог дрвета, у ланцу снабдевања пре стављања на тржиште;</w:t>
            </w:r>
          </w:p>
          <w:p w14:paraId="4761657F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</w:p>
          <w:p w14:paraId="7E7F9658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4) да су њима предвиђене провере којима се обезбеђује да дрво, односно дрвни производи непознатог порекла, односно дрво или дрвни производи који нису посечени у складу са прописима у држави сече дрвета не уђу у ланац снабдевања.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B7ACAB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lastRenderedPageBreak/>
              <w:t>ПУ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682251" w14:textId="77777777" w:rsidR="001A7247" w:rsidRPr="00B97086" w:rsidRDefault="001A7247">
            <w:pPr>
              <w:ind w:firstLine="21"/>
              <w:rPr>
                <w:sz w:val="18"/>
                <w:szCs w:val="18"/>
                <w:lang w:val="sr-Cyrl-RS"/>
              </w:rPr>
            </w:pP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F9638D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2750042C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4DF1B56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</w:p>
          <w:p w14:paraId="6E28712E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5.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208AE1B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B028BB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Information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concerning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operator’s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supply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mitigation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procedures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documented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lastRenderedPageBreak/>
              <w:t>through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adequate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records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which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stored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five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years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available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7BB5C71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7A3834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6EF8D50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F0D061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1AF538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E24649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5532F88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1F76060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DD1F4FE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AB05B7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6AB197A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3A12EC8E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309E11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D0D49EF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1DA251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58CE27A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7D4A110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3333C9C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2.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applying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their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due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diligence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system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demonstrate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how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information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gathered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was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against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criteria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6(1)(b)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how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decision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risk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mitigation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measures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was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taken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how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operator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determined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degree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risk.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D02DDB" w14:textId="77777777" w:rsidR="001A7247" w:rsidRPr="00B97086" w:rsidRDefault="001A724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97086">
              <w:rPr>
                <w:b/>
                <w:sz w:val="18"/>
                <w:szCs w:val="18"/>
                <w:lang w:val="sr-Cyrl-RS"/>
              </w:rPr>
              <w:lastRenderedPageBreak/>
              <w:t>0.1.</w:t>
            </w:r>
          </w:p>
          <w:p w14:paraId="217C199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10.2</w:t>
            </w:r>
          </w:p>
          <w:p w14:paraId="30EF0A2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D645E0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E77AAF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FE70565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CC6E61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11.3</w:t>
            </w:r>
          </w:p>
          <w:p w14:paraId="557681BC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E5BE0A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5C6ABA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1B413F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13.3</w:t>
            </w:r>
          </w:p>
          <w:p w14:paraId="446EAC9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4E01018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02D6508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2DAE19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17</w:t>
            </w:r>
          </w:p>
          <w:p w14:paraId="520C51D1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DAB9D1C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7BB7215F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3B88306C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17.5</w:t>
            </w:r>
          </w:p>
          <w:p w14:paraId="72B68343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5ED68DFC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6811E512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18DCC4B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17.6</w:t>
            </w:r>
          </w:p>
          <w:p w14:paraId="07E30A2E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2C0A2B47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D2B0ED9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  <w:p w14:paraId="17E55C52" w14:textId="77777777" w:rsidR="001A7247" w:rsidRPr="00B97086" w:rsidRDefault="001A724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B97086">
              <w:rPr>
                <w:b/>
                <w:sz w:val="18"/>
                <w:szCs w:val="18"/>
                <w:lang w:val="sr-Cyrl-RS"/>
              </w:rPr>
              <w:t>0.2.</w:t>
            </w:r>
          </w:p>
          <w:p w14:paraId="5513863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14.4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0FB57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1AB11110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Податке из става 1. овог члана субјект чува најмање пет година и ставља их на увид надлежном органу.</w:t>
            </w:r>
          </w:p>
          <w:p w14:paraId="15E85833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Податке из става 2. овог члана субјект чува најмање пет година и ставља их на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увид надлежном органу.</w:t>
            </w:r>
          </w:p>
          <w:p w14:paraId="0D8C57A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Податке из става 2. овог члана субјект чува најмање пет година и ставља их на увид надлежном органу.</w:t>
            </w:r>
          </w:p>
          <w:p w14:paraId="5C0B3AD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У вршењу послова надзора над применом овог закона шумарски инспектор има право и дужност да утврђује и проверава:</w:t>
            </w:r>
          </w:p>
          <w:p w14:paraId="35DD4B8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5) да ли субјект процењује ризик од стављања у промет незаконито посеченог дрвета, односно дрвних производа (члан 11);</w:t>
            </w:r>
          </w:p>
          <w:p w14:paraId="05A6884E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6) да ли субјект предузима мере за ублажавање ризика (члан 12);</w:t>
            </w:r>
          </w:p>
          <w:p w14:paraId="60C7D62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6D6F6A63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6651381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54E1F2B8" w14:textId="77777777" w:rsidR="001A7247" w:rsidRPr="00B97086" w:rsidRDefault="001A7247">
            <w:pPr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Надзирани субјекат може доставити инспекцији извештај о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самопровери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испуњености захтева из контролне листе и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самопроцени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ризика, које је спровео сагласно садржини контролне листе и правилима о процени ризика. Уз овај извештај,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надзирани субјекат инспекцији прилаже и одговарајућу документацију, односно други материјал (фотографије и др) којим се поткрепљују налази из извештаја.</w:t>
            </w: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B295C4D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lastRenderedPageBreak/>
              <w:t>ПУ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C6DF8B" w14:textId="77777777" w:rsidR="001A7247" w:rsidRPr="00B97086" w:rsidRDefault="001A7247">
            <w:pPr>
              <w:ind w:firstLine="21"/>
              <w:rPr>
                <w:sz w:val="18"/>
                <w:szCs w:val="18"/>
                <w:lang w:val="sr-Cyrl-RS"/>
              </w:rPr>
            </w:pP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7AD52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73E64A96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43BCDF14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6.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3FC6ECF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b/>
                <w:bCs/>
                <w:sz w:val="18"/>
                <w:szCs w:val="18"/>
                <w:lang w:val="sr-Cyrl-RS"/>
              </w:rPr>
              <w:t>Frequency</w:t>
            </w:r>
            <w:proofErr w:type="spellEnd"/>
            <w:r w:rsidRPr="00B97086">
              <w:rPr>
                <w:b/>
                <w:bCs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b/>
                <w:bCs/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b/>
                <w:bCs/>
                <w:sz w:val="18"/>
                <w:szCs w:val="18"/>
                <w:lang w:val="sr-Cyrl-RS"/>
              </w:rPr>
              <w:t xml:space="preserve"> nature </w:t>
            </w:r>
            <w:proofErr w:type="spellStart"/>
            <w:r w:rsidRPr="00B97086">
              <w:rPr>
                <w:b/>
                <w:bCs/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b/>
                <w:bCs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b/>
                <w:bCs/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b/>
                <w:bCs/>
                <w:sz w:val="18"/>
                <w:szCs w:val="18"/>
                <w:lang w:val="sr-Cyrl-RS"/>
              </w:rPr>
              <w:t xml:space="preserve"> on monitoring </w:t>
            </w:r>
            <w:proofErr w:type="spellStart"/>
            <w:r w:rsidRPr="00B97086">
              <w:rPr>
                <w:b/>
                <w:bCs/>
                <w:sz w:val="18"/>
                <w:szCs w:val="18"/>
                <w:lang w:val="sr-Cyrl-RS"/>
              </w:rPr>
              <w:t>organisations</w:t>
            </w:r>
            <w:proofErr w:type="spellEnd"/>
          </w:p>
          <w:p w14:paraId="4D7D8C6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1.  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ensure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intervals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8(4)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least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every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two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years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647F5E7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5581DC1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2.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8(4)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particular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following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cases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:</w:t>
            </w:r>
          </w:p>
          <w:p w14:paraId="207A27C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09545BF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(a)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has,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while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carrying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detected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shortcomings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effectiveness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implementation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due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diligence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system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established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045859A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C738C5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(b)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Commission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informed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undergone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subsequent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changes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9(2)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Commission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Delegated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363/2012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23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February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2012 on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procedural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rules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recognition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withdrawal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recognition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provided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for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European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Parliament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Council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laying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down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obligations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who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place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timber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products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the market (4).</w:t>
            </w:r>
          </w:p>
          <w:p w14:paraId="07DAF1E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57F8CD3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3.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prior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warning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except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where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prior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notification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is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necessary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order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ensure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effectiveness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394A6D4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74FACC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4.  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accordance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lastRenderedPageBreak/>
              <w:t>documented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procedures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46A4935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32B5D91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5.  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ensure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compliance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particular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appropriate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following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activities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:</w:t>
            </w:r>
          </w:p>
          <w:p w14:paraId="0556D2D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(a) spot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field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audits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6EE3BA3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316B41E5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(b)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examination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documentation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records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7ACBC255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75EB366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(c)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interviews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management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staff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5B93139D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3464542A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(d)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interviews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traders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other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relevant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person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07FD98D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6DD31D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(e)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examination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documentation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records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;</w:t>
            </w:r>
          </w:p>
          <w:p w14:paraId="0ECD043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6A28151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(f)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examination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samples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supply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operators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using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due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diligence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system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concerned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BDDC0A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AF2673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62FA2B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t>НП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242F25" w14:textId="77777777" w:rsidR="001A7247" w:rsidRPr="00B97086" w:rsidRDefault="001A7247">
            <w:pPr>
              <w:ind w:firstLine="21"/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Није преносиво јер прописује обавезе које се односе на проверу мониторинг организација, а које овлашћује Европска комисија.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316B1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62E6F4EE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64C858A5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>7.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74FDB164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b/>
                <w:sz w:val="18"/>
                <w:szCs w:val="18"/>
                <w:lang w:val="sr-Cyrl-RS"/>
              </w:rPr>
              <w:t>Reports</w:t>
            </w:r>
            <w:proofErr w:type="spellEnd"/>
            <w:r w:rsidRPr="00B97086">
              <w:rPr>
                <w:b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b/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b/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b/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b/>
                <w:sz w:val="18"/>
                <w:szCs w:val="18"/>
                <w:lang w:val="sr-Cyrl-RS"/>
              </w:rPr>
              <w:t xml:space="preserve"> on monitoring </w:t>
            </w:r>
            <w:proofErr w:type="spellStart"/>
            <w:r w:rsidRPr="00B97086">
              <w:rPr>
                <w:b/>
                <w:sz w:val="18"/>
                <w:szCs w:val="18"/>
                <w:lang w:val="sr-Cyrl-RS"/>
              </w:rPr>
              <w:t>organisations</w:t>
            </w:r>
            <w:proofErr w:type="spellEnd"/>
          </w:p>
          <w:p w14:paraId="438B4868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lastRenderedPageBreak/>
              <w:t xml:space="preserve">1.  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draw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up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reports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individual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have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carried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out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which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include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description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process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techniques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their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findings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conclusions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51659A0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41D27C4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2.  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provide a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has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been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subject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a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findings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conclusions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draft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report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. The monitoring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organisation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may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provide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comments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within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time limit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specified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  <w:p w14:paraId="42F7383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21347032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3.  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competent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authorities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draw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up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reports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referred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to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Article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8(4)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(EU) No 995/2010 on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basis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reports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individual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checks</w:t>
            </w:r>
            <w:proofErr w:type="spellEnd"/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C0FC50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9C7436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6230BDF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t>НП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8B0BBC" w14:textId="77777777" w:rsidR="001A7247" w:rsidRPr="00B97086" w:rsidRDefault="001A7247">
            <w:pPr>
              <w:ind w:firstLine="21"/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 xml:space="preserve">Односи се на проверу мониторинг организација од стране </w:t>
            </w:r>
            <w:r w:rsidRPr="00B97086">
              <w:rPr>
                <w:sz w:val="18"/>
                <w:szCs w:val="18"/>
                <w:lang w:val="sr-Cyrl-RS"/>
              </w:rPr>
              <w:lastRenderedPageBreak/>
              <w:t>надлежних тела држава чланица ЕУ.  Република Србија није чланица ЕУ.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4DD4BC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  <w:tr w:rsidR="001A7247" w:rsidRPr="00B97086" w14:paraId="700A4774" w14:textId="77777777" w:rsidTr="001A7247"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514F36FC" w14:textId="77777777" w:rsidR="001A7247" w:rsidRPr="00B97086" w:rsidRDefault="001A7247">
            <w:pPr>
              <w:ind w:firstLine="5"/>
              <w:jc w:val="center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8.</w:t>
            </w:r>
          </w:p>
        </w:tc>
        <w:tc>
          <w:tcPr>
            <w:tcW w:w="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14:paraId="66FD4A4B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sz w:val="18"/>
                <w:szCs w:val="18"/>
                <w:lang w:val="sr-Cyrl-RS"/>
              </w:rPr>
              <w:t>This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enter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into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force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on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twentieth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day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following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that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publication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Official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lastRenderedPageBreak/>
              <w:t>Journal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of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the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European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Union.</w:t>
            </w:r>
          </w:p>
          <w:p w14:paraId="1E181CE7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  <w:p w14:paraId="1E1994D9" w14:textId="77777777" w:rsidR="001A7247" w:rsidRPr="00B97086" w:rsidRDefault="001A7247">
            <w:pPr>
              <w:rPr>
                <w:b/>
                <w:sz w:val="18"/>
                <w:szCs w:val="18"/>
                <w:lang w:val="sr-Cyrl-RS"/>
              </w:rPr>
            </w:pPr>
            <w:proofErr w:type="spellStart"/>
            <w:r w:rsidRPr="00B97086">
              <w:rPr>
                <w:sz w:val="18"/>
                <w:szCs w:val="18"/>
                <w:lang w:val="sr-Cyrl-RS"/>
              </w:rPr>
              <w:t>This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Regulation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shall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be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binding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its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entirety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and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directly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applicable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in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all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Member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B97086">
              <w:rPr>
                <w:sz w:val="18"/>
                <w:szCs w:val="18"/>
                <w:lang w:val="sr-Cyrl-RS"/>
              </w:rPr>
              <w:t>States</w:t>
            </w:r>
            <w:proofErr w:type="spellEnd"/>
            <w:r w:rsidRPr="00B97086">
              <w:rPr>
                <w:sz w:val="18"/>
                <w:szCs w:val="18"/>
                <w:lang w:val="sr-Cyrl-RS"/>
              </w:rPr>
              <w:t>.</w:t>
            </w:r>
          </w:p>
        </w:tc>
        <w:tc>
          <w:tcPr>
            <w:tcW w:w="6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7014E2" w14:textId="77777777" w:rsidR="001A7247" w:rsidRPr="00B97086" w:rsidRDefault="001A724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DE09F4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7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30A609" w14:textId="77777777" w:rsidR="001A7247" w:rsidRPr="00B97086" w:rsidRDefault="001A7247">
            <w:pPr>
              <w:jc w:val="center"/>
              <w:rPr>
                <w:sz w:val="20"/>
                <w:szCs w:val="20"/>
                <w:lang w:val="sr-Cyrl-RS"/>
              </w:rPr>
            </w:pPr>
            <w:r w:rsidRPr="00B97086">
              <w:rPr>
                <w:sz w:val="20"/>
                <w:szCs w:val="20"/>
                <w:lang w:val="sr-Cyrl-RS"/>
              </w:rPr>
              <w:t>НП</w:t>
            </w:r>
          </w:p>
        </w:tc>
        <w:tc>
          <w:tcPr>
            <w:tcW w:w="8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65EA3A6" w14:textId="77777777" w:rsidR="001A7247" w:rsidRPr="00B97086" w:rsidRDefault="001A7247">
            <w:pPr>
              <w:ind w:firstLine="21"/>
              <w:jc w:val="both"/>
              <w:rPr>
                <w:sz w:val="18"/>
                <w:szCs w:val="18"/>
                <w:lang w:val="sr-Cyrl-RS"/>
              </w:rPr>
            </w:pPr>
            <w:r w:rsidRPr="00B97086">
              <w:rPr>
                <w:sz w:val="18"/>
                <w:szCs w:val="18"/>
                <w:lang w:val="sr-Cyrl-RS"/>
              </w:rPr>
              <w:t>Прописује датум ступања на снагу уредбе.</w:t>
            </w:r>
          </w:p>
        </w:tc>
        <w:tc>
          <w:tcPr>
            <w:tcW w:w="7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B90539" w14:textId="77777777" w:rsidR="001A7247" w:rsidRPr="00B97086" w:rsidRDefault="001A7247">
            <w:pPr>
              <w:rPr>
                <w:sz w:val="18"/>
                <w:szCs w:val="18"/>
                <w:lang w:val="sr-Cyrl-RS"/>
              </w:rPr>
            </w:pPr>
          </w:p>
        </w:tc>
      </w:tr>
    </w:tbl>
    <w:p w14:paraId="55640E9F" w14:textId="77777777" w:rsidR="001A7247" w:rsidRPr="00B97086" w:rsidRDefault="001A7247" w:rsidP="001A7247">
      <w:pPr>
        <w:spacing w:after="120"/>
        <w:rPr>
          <w:sz w:val="18"/>
          <w:szCs w:val="18"/>
          <w:lang w:val="sr-Cyrl-RS"/>
        </w:rPr>
      </w:pPr>
    </w:p>
    <w:p w14:paraId="7A91CFBC" w14:textId="77777777" w:rsidR="001A7247" w:rsidRPr="00B97086" w:rsidRDefault="001A7247" w:rsidP="001A7247">
      <w:pPr>
        <w:rPr>
          <w:lang w:val="sr-Cyrl-RS"/>
        </w:rPr>
      </w:pPr>
    </w:p>
    <w:p w14:paraId="46DB67AB" w14:textId="77777777" w:rsidR="001A7247" w:rsidRPr="00B97086" w:rsidRDefault="001A7247" w:rsidP="001A7247">
      <w:pPr>
        <w:rPr>
          <w:lang w:val="sr-Cyrl-RS"/>
        </w:rPr>
      </w:pPr>
    </w:p>
    <w:p w14:paraId="39103F34" w14:textId="77777777" w:rsidR="00136480" w:rsidRPr="00B97086" w:rsidRDefault="00136480">
      <w:pPr>
        <w:rPr>
          <w:lang w:val="sr-Cyrl-RS"/>
        </w:rPr>
      </w:pPr>
    </w:p>
    <w:sectPr w:rsidR="00136480" w:rsidRPr="00B97086" w:rsidSect="001A72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5AE4E" w14:textId="77777777" w:rsidR="00E96BAB" w:rsidRDefault="00E96BAB" w:rsidP="001A7247">
      <w:r>
        <w:separator/>
      </w:r>
    </w:p>
  </w:endnote>
  <w:endnote w:type="continuationSeparator" w:id="0">
    <w:p w14:paraId="788183B1" w14:textId="77777777" w:rsidR="00E96BAB" w:rsidRDefault="00E96BAB" w:rsidP="001A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3FAFC" w14:textId="77777777" w:rsidR="001A7247" w:rsidRDefault="001A72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7C30" w14:textId="77777777" w:rsidR="001A7247" w:rsidRDefault="001A72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A4C8" w14:textId="77777777" w:rsidR="001A7247" w:rsidRDefault="001A72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3885" w14:textId="77777777" w:rsidR="00E96BAB" w:rsidRDefault="00E96BAB" w:rsidP="001A7247">
      <w:r>
        <w:separator/>
      </w:r>
    </w:p>
  </w:footnote>
  <w:footnote w:type="continuationSeparator" w:id="0">
    <w:p w14:paraId="731864D2" w14:textId="77777777" w:rsidR="00E96BAB" w:rsidRDefault="00E96BAB" w:rsidP="001A72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E75A6" w14:textId="77777777" w:rsidR="001A7247" w:rsidRDefault="001A7247" w:rsidP="00755D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C4142E" w14:textId="77777777" w:rsidR="001A7247" w:rsidRDefault="001A72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36C8" w14:textId="77777777" w:rsidR="001A7247" w:rsidRDefault="001A7247" w:rsidP="00755D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6EB361E2" w14:textId="77777777" w:rsidR="001A7247" w:rsidRDefault="001A72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FE1A" w14:textId="77777777" w:rsidR="001A7247" w:rsidRDefault="001A7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CCB"/>
    <w:rsid w:val="0010778F"/>
    <w:rsid w:val="00136480"/>
    <w:rsid w:val="001A7247"/>
    <w:rsid w:val="0028242E"/>
    <w:rsid w:val="00370F61"/>
    <w:rsid w:val="003B750A"/>
    <w:rsid w:val="0051215E"/>
    <w:rsid w:val="0056486A"/>
    <w:rsid w:val="006128E8"/>
    <w:rsid w:val="007F2511"/>
    <w:rsid w:val="00832EDC"/>
    <w:rsid w:val="008F3DE6"/>
    <w:rsid w:val="009E01A4"/>
    <w:rsid w:val="00A17BA1"/>
    <w:rsid w:val="00A82B08"/>
    <w:rsid w:val="00B97086"/>
    <w:rsid w:val="00E96BAB"/>
    <w:rsid w:val="00F8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4AEA50"/>
  <w15:chartTrackingRefBased/>
  <w15:docId w15:val="{E205ACFB-D4FD-4FDE-BE3B-167F853D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72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Char">
    <w:name w:val="normal Char"/>
    <w:link w:val="Normal1"/>
    <w:locked/>
    <w:rsid w:val="001A7247"/>
    <w:rPr>
      <w:rFonts w:ascii="Arial" w:hAnsi="Arial" w:cs="Arial"/>
      <w:sz w:val="22"/>
      <w:szCs w:val="22"/>
    </w:rPr>
  </w:style>
  <w:style w:type="paragraph" w:customStyle="1" w:styleId="Normal1">
    <w:name w:val="Normal1"/>
    <w:basedOn w:val="Normal"/>
    <w:link w:val="normalChar"/>
    <w:rsid w:val="001A724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DefaultParagraphFont"/>
    <w:rsid w:val="001A7247"/>
  </w:style>
  <w:style w:type="paragraph" w:styleId="Header">
    <w:name w:val="header"/>
    <w:basedOn w:val="Normal"/>
    <w:link w:val="HeaderChar"/>
    <w:rsid w:val="001A72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A7247"/>
    <w:rPr>
      <w:sz w:val="24"/>
      <w:szCs w:val="24"/>
    </w:rPr>
  </w:style>
  <w:style w:type="paragraph" w:styleId="Footer">
    <w:name w:val="footer"/>
    <w:basedOn w:val="Normal"/>
    <w:link w:val="FooterChar"/>
    <w:rsid w:val="001A72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7247"/>
    <w:rPr>
      <w:sz w:val="24"/>
      <w:szCs w:val="24"/>
    </w:rPr>
  </w:style>
  <w:style w:type="character" w:styleId="PageNumber">
    <w:name w:val="page number"/>
    <w:basedOn w:val="DefaultParagraphFont"/>
    <w:rsid w:val="001A7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1801</Words>
  <Characters>10267</Characters>
  <Application>Microsoft Office Word</Application>
  <DocSecurity>0</DocSecurity>
  <Lines>85</Lines>
  <Paragraphs>24</Paragraphs>
  <ScaleCrop>false</ScaleCrop>
  <Company/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Љиљана Мирчески</dc:creator>
  <cp:keywords/>
  <dc:description/>
  <cp:lastModifiedBy>Andjelka Opacic</cp:lastModifiedBy>
  <cp:revision>6</cp:revision>
  <dcterms:created xsi:type="dcterms:W3CDTF">2025-09-11T06:31:00Z</dcterms:created>
  <dcterms:modified xsi:type="dcterms:W3CDTF">2025-09-11T07:07:00Z</dcterms:modified>
</cp:coreProperties>
</file>